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76" w:rsidRPr="00262076" w:rsidRDefault="00262076" w:rsidP="00262076">
      <w:pPr>
        <w:spacing w:before="75" w:after="75"/>
        <w:outlineLvl w:val="1"/>
        <w:rPr>
          <w:rFonts w:ascii="Verdana" w:eastAsia="Times New Roman" w:hAnsi="Verdana" w:cs="Times New Roman"/>
          <w:b/>
          <w:bCs/>
          <w:color w:val="019A98"/>
          <w:sz w:val="27"/>
          <w:szCs w:val="27"/>
        </w:rPr>
      </w:pPr>
      <w:r w:rsidRPr="00262076">
        <w:rPr>
          <w:rFonts w:ascii="Verdana" w:eastAsia="Times New Roman" w:hAnsi="Verdana" w:cs="Times New Roman"/>
          <w:b/>
          <w:bCs/>
          <w:color w:val="019A98"/>
          <w:sz w:val="27"/>
          <w:szCs w:val="27"/>
        </w:rPr>
        <w:t xml:space="preserve">Display &amp; Optical Film </w:t>
      </w:r>
    </w:p>
    <w:tbl>
      <w:tblPr>
        <w:tblW w:w="0" w:type="auto"/>
        <w:jc w:val="center"/>
        <w:tblCellSpacing w:w="0" w:type="dxa"/>
        <w:tblCellMar>
          <w:left w:w="0" w:type="dxa"/>
          <w:right w:w="0" w:type="dxa"/>
        </w:tblCellMar>
        <w:tblLook w:val="04A0"/>
      </w:tblPr>
      <w:tblGrid>
        <w:gridCol w:w="9369"/>
        <w:gridCol w:w="6"/>
      </w:tblGrid>
      <w:tr w:rsidR="00262076" w:rsidRPr="00262076" w:rsidTr="00262076">
        <w:trPr>
          <w:tblCellSpacing w:w="0" w:type="dxa"/>
          <w:jc w:val="center"/>
        </w:trPr>
        <w:tc>
          <w:tcPr>
            <w:tcW w:w="0" w:type="auto"/>
            <w:gridSpan w:val="2"/>
            <w:tcMar>
              <w:top w:w="0" w:type="dxa"/>
              <w:left w:w="15" w:type="dxa"/>
              <w:bottom w:w="0" w:type="dxa"/>
              <w:right w:w="0" w:type="dxa"/>
            </w:tcMar>
            <w:hideMark/>
          </w:tcPr>
          <w:tbl>
            <w:tblPr>
              <w:tblW w:w="0" w:type="auto"/>
              <w:jc w:val="center"/>
              <w:tblCellSpacing w:w="0" w:type="dxa"/>
              <w:tblCellMar>
                <w:left w:w="0" w:type="dxa"/>
                <w:right w:w="0" w:type="dxa"/>
              </w:tblCellMar>
              <w:tblLook w:val="04A0"/>
            </w:tblPr>
            <w:tblGrid>
              <w:gridCol w:w="7050"/>
              <w:gridCol w:w="2310"/>
            </w:tblGrid>
            <w:tr w:rsidR="00262076" w:rsidRPr="00262076" w:rsidTr="00262076">
              <w:trPr>
                <w:tblCellSpacing w:w="0" w:type="dxa"/>
                <w:jc w:val="center"/>
              </w:trPr>
              <w:tc>
                <w:tcPr>
                  <w:tcW w:w="0" w:type="auto"/>
                  <w:tcMar>
                    <w:top w:w="0" w:type="dxa"/>
                    <w:left w:w="0" w:type="dxa"/>
                    <w:bottom w:w="0" w:type="dxa"/>
                    <w:right w:w="600" w:type="dxa"/>
                  </w:tcMar>
                  <w:hideMark/>
                </w:tcPr>
                <w:p w:rsidR="00262076" w:rsidRPr="00262076" w:rsidRDefault="00262076" w:rsidP="00001857">
                  <w:pPr>
                    <w:spacing w:before="45" w:after="225" w:line="240" w:lineRule="auto"/>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Diffuser films from </w:t>
                  </w:r>
                  <w:r w:rsidR="00001857">
                    <w:rPr>
                      <w:rFonts w:ascii="Verdana" w:eastAsia="Times New Roman" w:hAnsi="Verdana" w:cs="Times New Roman"/>
                      <w:color w:val="656565"/>
                      <w:sz w:val="24"/>
                      <w:szCs w:val="24"/>
                    </w:rPr>
                    <w:t>Esprit Group</w:t>
                  </w:r>
                  <w:r w:rsidRPr="00262076">
                    <w:rPr>
                      <w:rFonts w:ascii="Verdana" w:eastAsia="Times New Roman" w:hAnsi="Verdana" w:cs="Times New Roman"/>
                      <w:color w:val="656565"/>
                      <w:sz w:val="24"/>
                      <w:szCs w:val="24"/>
                    </w:rPr>
                    <w:t xml:space="preserve"> are a series of optical films which can meet the demanding material requirements in the liquid crystal display (LCD) back lighting industry. This unique product line is created by combining SABIC Innovative Plastics’ expertise in optical quality resins with a class 10,000 clean room manufacturing environment. Diffuser films feature excellent optical properties that are “built into” the film formulation and/or molded into the film surface to deliver an unprecedented combination of cost-effective quality and performance. Traditional diffuser films use coatings to achieve specified performance levels. </w:t>
                  </w:r>
                </w:p>
              </w:tc>
              <w:tc>
                <w:tcPr>
                  <w:tcW w:w="0" w:type="auto"/>
                  <w:tcMar>
                    <w:top w:w="0" w:type="dxa"/>
                    <w:left w:w="0" w:type="dxa"/>
                    <w:bottom w:w="225" w:type="dxa"/>
                    <w:right w:w="180" w:type="dxa"/>
                  </w:tcMar>
                  <w:hideMark/>
                </w:tcPr>
                <w:p w:rsidR="00262076" w:rsidRPr="00262076" w:rsidRDefault="00262076" w:rsidP="00262076">
                  <w:pPr>
                    <w:spacing w:after="0" w:line="240" w:lineRule="auto"/>
                    <w:rPr>
                      <w:rFonts w:ascii="Verdana" w:eastAsia="Times New Roman" w:hAnsi="Verdana" w:cs="Times New Roman"/>
                      <w:color w:val="656565"/>
                      <w:sz w:val="24"/>
                      <w:szCs w:val="24"/>
                    </w:rPr>
                  </w:pPr>
                  <w:r>
                    <w:rPr>
                      <w:rFonts w:ascii="Verdana" w:eastAsia="Times New Roman" w:hAnsi="Verdana" w:cs="Times New Roman"/>
                      <w:noProof/>
                      <w:color w:val="656565"/>
                      <w:sz w:val="24"/>
                      <w:szCs w:val="24"/>
                    </w:rPr>
                    <w:drawing>
                      <wp:inline distT="0" distB="0" distL="0" distR="0">
                        <wp:extent cx="1333500" cy="1333500"/>
                        <wp:effectExtent l="19050" t="0" r="0" b="0"/>
                        <wp:docPr id="1" name="Picture 1" descr="http://imageserver.geampod.kcbam.net/KBAMImagingServer/Scripts/resize.kix?FileName=http://kbam.geampod.com/KBAM/reflection/Assets/19013.jpg&amp;Width1=140&amp;Height1=140&amp;Unit1=Pixels&amp;Form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rver.geampod.kcbam.net/KBAMImagingServer/Scripts/resize.kix?FileName=http://kbam.geampod.com/KBAM/reflection/Assets/19013.jpg&amp;Width1=140&amp;Height1=140&amp;Unit1=Pixels&amp;Format1=png"/>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r>
          </w:tbl>
          <w:p w:rsidR="00262076" w:rsidRPr="00262076" w:rsidRDefault="00262076" w:rsidP="00262076">
            <w:pPr>
              <w:spacing w:after="0" w:line="240" w:lineRule="auto"/>
              <w:rPr>
                <w:rFonts w:ascii="Verdana" w:eastAsia="Times New Roman" w:hAnsi="Verdana" w:cs="Times New Roman"/>
                <w:color w:val="656565"/>
                <w:sz w:val="24"/>
                <w:szCs w:val="24"/>
              </w:rPr>
            </w:pPr>
          </w:p>
        </w:tc>
      </w:tr>
      <w:tr w:rsidR="00262076" w:rsidRPr="00262076" w:rsidTr="00262076">
        <w:trPr>
          <w:tblCellSpacing w:w="0" w:type="dxa"/>
          <w:jc w:val="center"/>
        </w:trPr>
        <w:tc>
          <w:tcPr>
            <w:tcW w:w="0" w:type="auto"/>
            <w:tcMar>
              <w:top w:w="0" w:type="dxa"/>
              <w:left w:w="15" w:type="dxa"/>
              <w:bottom w:w="0" w:type="dxa"/>
              <w:right w:w="0" w:type="dxa"/>
            </w:tcMar>
            <w:vAlign w:val="center"/>
            <w:hideMark/>
          </w:tcPr>
          <w:tbl>
            <w:tblPr>
              <w:tblW w:w="0" w:type="auto"/>
              <w:jc w:val="center"/>
              <w:tblCellSpacing w:w="15" w:type="dxa"/>
              <w:tblCellMar>
                <w:top w:w="15" w:type="dxa"/>
                <w:left w:w="15" w:type="dxa"/>
                <w:bottom w:w="15" w:type="dxa"/>
                <w:right w:w="15" w:type="dxa"/>
              </w:tblCellMar>
              <w:tblLook w:val="04A0"/>
            </w:tblPr>
            <w:tblGrid>
              <w:gridCol w:w="9354"/>
            </w:tblGrid>
            <w:tr w:rsidR="00262076" w:rsidRPr="00262076" w:rsidTr="00262076">
              <w:trPr>
                <w:tblCellSpacing w:w="15" w:type="dxa"/>
                <w:jc w:val="center"/>
              </w:trPr>
              <w:tc>
                <w:tcPr>
                  <w:tcW w:w="0" w:type="auto"/>
                  <w:tcMar>
                    <w:top w:w="0" w:type="dxa"/>
                    <w:left w:w="15" w:type="dxa"/>
                    <w:bottom w:w="0" w:type="dxa"/>
                    <w:right w:w="0" w:type="dxa"/>
                  </w:tcMar>
                  <w:hideMark/>
                </w:tcPr>
                <w:p w:rsidR="00262076" w:rsidRPr="00262076" w:rsidRDefault="00262076" w:rsidP="00262076">
                  <w:pPr>
                    <w:spacing w:before="75" w:after="75" w:line="240" w:lineRule="auto"/>
                    <w:outlineLvl w:val="2"/>
                    <w:rPr>
                      <w:rFonts w:ascii="Verdana" w:eastAsia="Times New Roman" w:hAnsi="Verdana" w:cs="Times New Roman"/>
                      <w:b/>
                      <w:bCs/>
                      <w:color w:val="019A98"/>
                      <w:sz w:val="26"/>
                      <w:szCs w:val="26"/>
                    </w:rPr>
                  </w:pPr>
                  <w:r w:rsidRPr="00262076">
                    <w:rPr>
                      <w:rFonts w:ascii="Verdana" w:eastAsia="Times New Roman" w:hAnsi="Verdana" w:cs="Times New Roman"/>
                      <w:b/>
                      <w:bCs/>
                      <w:color w:val="019A98"/>
                      <w:sz w:val="26"/>
                      <w:szCs w:val="26"/>
                    </w:rPr>
                    <w:t xml:space="preserve">Features &amp; Benefits </w:t>
                  </w:r>
                </w:p>
                <w:p w:rsidR="00262076" w:rsidRPr="00262076" w:rsidRDefault="00262076" w:rsidP="00262076">
                  <w:pPr>
                    <w:numPr>
                      <w:ilvl w:val="0"/>
                      <w:numId w:val="1"/>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Better </w:t>
                  </w:r>
                  <w:proofErr w:type="spellStart"/>
                  <w:r w:rsidRPr="00262076">
                    <w:rPr>
                      <w:rFonts w:ascii="Verdana" w:eastAsia="Times New Roman" w:hAnsi="Verdana" w:cs="Times New Roman"/>
                      <w:color w:val="656565"/>
                      <w:sz w:val="24"/>
                      <w:szCs w:val="24"/>
                    </w:rPr>
                    <w:t>processability</w:t>
                  </w:r>
                  <w:proofErr w:type="spellEnd"/>
                  <w:r w:rsidRPr="00262076">
                    <w:rPr>
                      <w:rFonts w:ascii="Verdana" w:eastAsia="Times New Roman" w:hAnsi="Verdana" w:cs="Times New Roman"/>
                      <w:color w:val="656565"/>
                      <w:sz w:val="24"/>
                      <w:szCs w:val="24"/>
                    </w:rPr>
                    <w:t xml:space="preserve"> and handling </w:t>
                  </w:r>
                </w:p>
                <w:p w:rsidR="00262076" w:rsidRPr="00262076" w:rsidRDefault="00262076" w:rsidP="00262076">
                  <w:pPr>
                    <w:numPr>
                      <w:ilvl w:val="0"/>
                      <w:numId w:val="1"/>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Increased yields </w:t>
                  </w:r>
                </w:p>
                <w:p w:rsidR="00262076" w:rsidRPr="00262076" w:rsidRDefault="00262076" w:rsidP="00262076">
                  <w:pPr>
                    <w:numPr>
                      <w:ilvl w:val="0"/>
                      <w:numId w:val="1"/>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Reduced yield risk at final QC </w:t>
                  </w:r>
                </w:p>
                <w:p w:rsidR="00262076" w:rsidRPr="00262076" w:rsidRDefault="00262076" w:rsidP="00262076">
                  <w:pPr>
                    <w:numPr>
                      <w:ilvl w:val="0"/>
                      <w:numId w:val="1"/>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No coating voids </w:t>
                  </w:r>
                </w:p>
                <w:p w:rsidR="00262076" w:rsidRPr="00262076" w:rsidRDefault="00262076" w:rsidP="00262076">
                  <w:pPr>
                    <w:numPr>
                      <w:ilvl w:val="0"/>
                      <w:numId w:val="1"/>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Less thermal wrinkling </w:t>
                  </w:r>
                </w:p>
                <w:p w:rsidR="00262076" w:rsidRPr="00262076" w:rsidRDefault="00262076" w:rsidP="00262076">
                  <w:pPr>
                    <w:numPr>
                      <w:ilvl w:val="0"/>
                      <w:numId w:val="1"/>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Superior dimensional stability display films </w:t>
                  </w:r>
                </w:p>
                <w:p w:rsidR="00262076" w:rsidRPr="00262076" w:rsidRDefault="00262076" w:rsidP="00262076">
                  <w:pPr>
                    <w:numPr>
                      <w:ilvl w:val="0"/>
                      <w:numId w:val="1"/>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Less thermal wrinkling </w:t>
                  </w:r>
                </w:p>
                <w:p w:rsidR="00262076" w:rsidRPr="00262076" w:rsidRDefault="00262076" w:rsidP="00262076">
                  <w:pPr>
                    <w:numPr>
                      <w:ilvl w:val="0"/>
                      <w:numId w:val="1"/>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Performance capability across most CCFL and direct lighting designs </w:t>
                  </w:r>
                </w:p>
                <w:p w:rsidR="00262076" w:rsidRPr="00262076" w:rsidRDefault="00262076" w:rsidP="00262076">
                  <w:pPr>
                    <w:spacing w:before="75" w:after="75" w:line="240" w:lineRule="auto"/>
                    <w:outlineLvl w:val="2"/>
                    <w:rPr>
                      <w:rFonts w:ascii="Verdana" w:eastAsia="Times New Roman" w:hAnsi="Verdana" w:cs="Times New Roman"/>
                      <w:b/>
                      <w:bCs/>
                      <w:color w:val="019A98"/>
                      <w:sz w:val="26"/>
                      <w:szCs w:val="26"/>
                    </w:rPr>
                  </w:pPr>
                  <w:r w:rsidRPr="00262076">
                    <w:rPr>
                      <w:rFonts w:ascii="Verdana" w:eastAsia="Times New Roman" w:hAnsi="Verdana" w:cs="Times New Roman"/>
                      <w:b/>
                      <w:bCs/>
                      <w:color w:val="019A98"/>
                      <w:sz w:val="26"/>
                      <w:szCs w:val="26"/>
                    </w:rPr>
                    <w:t xml:space="preserve">Typical Applications </w:t>
                  </w:r>
                </w:p>
                <w:p w:rsidR="00262076" w:rsidRPr="00262076" w:rsidRDefault="00262076" w:rsidP="00262076">
                  <w:pPr>
                    <w:numPr>
                      <w:ilvl w:val="0"/>
                      <w:numId w:val="2"/>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Automotive / GPS navigational display units </w:t>
                  </w:r>
                </w:p>
                <w:p w:rsidR="00262076" w:rsidRPr="00262076" w:rsidRDefault="00262076" w:rsidP="00262076">
                  <w:pPr>
                    <w:numPr>
                      <w:ilvl w:val="0"/>
                      <w:numId w:val="2"/>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Notebook PCs </w:t>
                  </w:r>
                </w:p>
                <w:p w:rsidR="00262076" w:rsidRPr="00262076" w:rsidRDefault="00262076" w:rsidP="00262076">
                  <w:pPr>
                    <w:numPr>
                      <w:ilvl w:val="0"/>
                      <w:numId w:val="2"/>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Monitor displays </w:t>
                  </w:r>
                </w:p>
                <w:p w:rsidR="00262076" w:rsidRDefault="00262076" w:rsidP="00262076">
                  <w:pPr>
                    <w:numPr>
                      <w:ilvl w:val="0"/>
                      <w:numId w:val="2"/>
                    </w:numPr>
                    <w:spacing w:before="100" w:beforeAutospacing="1" w:after="100" w:afterAutospacing="1" w:line="240" w:lineRule="auto"/>
                    <w:ind w:left="225"/>
                    <w:rPr>
                      <w:rFonts w:ascii="Verdana" w:eastAsia="Times New Roman" w:hAnsi="Verdana" w:cs="Times New Roman"/>
                      <w:color w:val="656565"/>
                      <w:sz w:val="24"/>
                      <w:szCs w:val="24"/>
                    </w:rPr>
                  </w:pPr>
                  <w:r w:rsidRPr="00262076">
                    <w:rPr>
                      <w:rFonts w:ascii="Verdana" w:eastAsia="Times New Roman" w:hAnsi="Verdana" w:cs="Times New Roman"/>
                      <w:color w:val="656565"/>
                      <w:sz w:val="24"/>
                      <w:szCs w:val="24"/>
                    </w:rPr>
                    <w:t xml:space="preserve">TV LCD screens </w:t>
                  </w:r>
                </w:p>
                <w:p w:rsidR="00EC3108" w:rsidRDefault="00B43328" w:rsidP="00EC3108">
                  <w:pPr>
                    <w:spacing w:before="100" w:beforeAutospacing="1" w:after="100" w:afterAutospacing="1" w:line="240" w:lineRule="auto"/>
                    <w:rPr>
                      <w:rFonts w:ascii="Verdana" w:eastAsia="Times New Roman" w:hAnsi="Verdana" w:cs="Times New Roman"/>
                      <w:color w:val="656565"/>
                      <w:sz w:val="24"/>
                      <w:szCs w:val="24"/>
                    </w:rPr>
                  </w:pPr>
                  <w:r>
                    <w:rPr>
                      <w:rFonts w:ascii="Verdana" w:eastAsia="Times New Roman" w:hAnsi="Verdana" w:cs="Times New Roman"/>
                      <w:color w:val="656565"/>
                      <w:sz w:val="24"/>
                      <w:szCs w:val="24"/>
                    </w:rPr>
                    <w:t>Download:</w:t>
                  </w:r>
                </w:p>
                <w:p w:rsidR="00EC3108" w:rsidRPr="00B43328" w:rsidRDefault="00B43328" w:rsidP="00EC3108">
                  <w:pPr>
                    <w:spacing w:before="100" w:beforeAutospacing="1" w:after="100" w:afterAutospacing="1" w:line="240" w:lineRule="auto"/>
                    <w:rPr>
                      <w:rFonts w:ascii="Times New Roman" w:eastAsia="Times New Roman" w:hAnsi="Times New Roman"/>
                      <w:b/>
                      <w:bCs/>
                      <w:color w:val="FF0000"/>
                      <w:sz w:val="24"/>
                      <w:szCs w:val="24"/>
                      <w:u w:val="single"/>
                    </w:rPr>
                  </w:pPr>
                  <w:proofErr w:type="spellStart"/>
                  <w:r w:rsidRPr="00B43328">
                    <w:rPr>
                      <w:rFonts w:ascii="Times New Roman" w:eastAsia="Times New Roman" w:hAnsi="Times New Roman"/>
                      <w:b/>
                      <w:bCs/>
                      <w:color w:val="FF0000"/>
                      <w:sz w:val="24"/>
                      <w:szCs w:val="24"/>
                      <w:u w:val="single"/>
                    </w:rPr>
                    <w:t>Lexan</w:t>
                  </w:r>
                  <w:proofErr w:type="spellEnd"/>
                  <w:r w:rsidRPr="00B43328">
                    <w:rPr>
                      <w:rFonts w:ascii="Times New Roman" w:eastAsia="Times New Roman" w:hAnsi="Times New Roman"/>
                      <w:b/>
                      <w:bCs/>
                      <w:color w:val="FF0000"/>
                      <w:sz w:val="24"/>
                      <w:szCs w:val="24"/>
                      <w:u w:val="single"/>
                    </w:rPr>
                    <w:t xml:space="preserve"> </w:t>
                  </w:r>
                  <w:proofErr w:type="spellStart"/>
                  <w:r w:rsidRPr="00B43328">
                    <w:rPr>
                      <w:rFonts w:ascii="Times New Roman" w:eastAsia="Times New Roman" w:hAnsi="Times New Roman"/>
                      <w:b/>
                      <w:bCs/>
                      <w:color w:val="FF0000"/>
                      <w:sz w:val="24"/>
                      <w:szCs w:val="24"/>
                      <w:u w:val="single"/>
                    </w:rPr>
                    <w:t>Illuminex</w:t>
                  </w:r>
                  <w:proofErr w:type="spellEnd"/>
                  <w:r w:rsidRPr="00B43328">
                    <w:rPr>
                      <w:rFonts w:ascii="Times New Roman" w:eastAsia="Times New Roman" w:hAnsi="Times New Roman"/>
                      <w:b/>
                      <w:bCs/>
                      <w:color w:val="FF0000"/>
                      <w:sz w:val="24"/>
                      <w:szCs w:val="24"/>
                      <w:u w:val="single"/>
                    </w:rPr>
                    <w:t xml:space="preserve"> Film</w:t>
                  </w:r>
                </w:p>
                <w:p w:rsidR="00B43328" w:rsidRPr="00B43328" w:rsidRDefault="00B43328" w:rsidP="00EC3108">
                  <w:pPr>
                    <w:spacing w:before="100" w:beforeAutospacing="1" w:after="100" w:afterAutospacing="1" w:line="240" w:lineRule="auto"/>
                    <w:rPr>
                      <w:rFonts w:ascii="Verdana" w:eastAsia="Times New Roman" w:hAnsi="Verdana" w:cs="Times New Roman"/>
                      <w:color w:val="FF0000"/>
                      <w:sz w:val="20"/>
                      <w:szCs w:val="20"/>
                    </w:rPr>
                  </w:pPr>
                </w:p>
                <w:p w:rsidR="00EC3108" w:rsidRPr="008107F0" w:rsidRDefault="00EC3108" w:rsidP="00EC3108">
                  <w:pPr>
                    <w:rPr>
                      <w:lang w:val="ro-RO"/>
                    </w:rPr>
                  </w:pPr>
                  <w:r>
                    <w:t>Ro</w:t>
                  </w:r>
                  <w:r>
                    <w:rPr>
                      <w:lang w:val="ro-RO"/>
                    </w:rPr>
                    <w:t>:</w:t>
                  </w:r>
                </w:p>
                <w:p w:rsidR="00EC3108" w:rsidRPr="008107F0" w:rsidRDefault="00EC3108" w:rsidP="00EC3108">
                  <w:pPr>
                    <w:spacing w:before="75" w:after="75"/>
                    <w:outlineLvl w:val="1"/>
                    <w:rPr>
                      <w:rFonts w:ascii="Verdana" w:eastAsia="Times New Roman" w:hAnsi="Verdana"/>
                      <w:b/>
                      <w:bCs/>
                      <w:color w:val="019A98"/>
                      <w:sz w:val="27"/>
                      <w:szCs w:val="27"/>
                      <w:lang w:val="ro-RO"/>
                    </w:rPr>
                  </w:pPr>
                  <w:r w:rsidRPr="008107F0">
                    <w:rPr>
                      <w:rFonts w:ascii="Verdana" w:eastAsia="Times New Roman" w:hAnsi="Verdana"/>
                      <w:b/>
                      <w:bCs/>
                      <w:color w:val="019A98"/>
                      <w:sz w:val="27"/>
                      <w:szCs w:val="27"/>
                      <w:lang w:val="ro-RO"/>
                    </w:rPr>
                    <w:t>Film pentru afişaje şi cu calităţi optice</w:t>
                  </w:r>
                </w:p>
                <w:tbl>
                  <w:tblPr>
                    <w:tblW w:w="0" w:type="auto"/>
                    <w:jc w:val="center"/>
                    <w:tblCellSpacing w:w="0" w:type="dxa"/>
                    <w:tblCellMar>
                      <w:left w:w="0" w:type="dxa"/>
                      <w:right w:w="0" w:type="dxa"/>
                    </w:tblCellMar>
                    <w:tblLook w:val="04A0"/>
                  </w:tblPr>
                  <w:tblGrid>
                    <w:gridCol w:w="9272"/>
                    <w:gridCol w:w="7"/>
                  </w:tblGrid>
                  <w:tr w:rsidR="00EC3108" w:rsidRPr="008107F0" w:rsidTr="006820B1">
                    <w:trPr>
                      <w:tblCellSpacing w:w="0" w:type="dxa"/>
                      <w:jc w:val="center"/>
                    </w:trPr>
                    <w:tc>
                      <w:tcPr>
                        <w:tcW w:w="0" w:type="auto"/>
                        <w:gridSpan w:val="2"/>
                        <w:tcMar>
                          <w:top w:w="0" w:type="dxa"/>
                          <w:left w:w="15" w:type="dxa"/>
                          <w:bottom w:w="0" w:type="dxa"/>
                          <w:right w:w="0" w:type="dxa"/>
                        </w:tcMar>
                      </w:tcPr>
                      <w:tbl>
                        <w:tblPr>
                          <w:tblW w:w="0" w:type="auto"/>
                          <w:jc w:val="center"/>
                          <w:tblCellSpacing w:w="0" w:type="dxa"/>
                          <w:tblCellMar>
                            <w:left w:w="0" w:type="dxa"/>
                            <w:right w:w="0" w:type="dxa"/>
                          </w:tblCellMar>
                          <w:tblLook w:val="04A0"/>
                        </w:tblPr>
                        <w:tblGrid>
                          <w:gridCol w:w="6954"/>
                          <w:gridCol w:w="2310"/>
                        </w:tblGrid>
                        <w:tr w:rsidR="00EC3108" w:rsidRPr="008107F0" w:rsidTr="006820B1">
                          <w:trPr>
                            <w:tblCellSpacing w:w="0" w:type="dxa"/>
                            <w:jc w:val="center"/>
                          </w:trPr>
                          <w:tc>
                            <w:tcPr>
                              <w:tcW w:w="0" w:type="auto"/>
                              <w:tcMar>
                                <w:top w:w="0" w:type="dxa"/>
                                <w:left w:w="0" w:type="dxa"/>
                                <w:bottom w:w="0" w:type="dxa"/>
                                <w:right w:w="600" w:type="dxa"/>
                              </w:tcMar>
                            </w:tcPr>
                            <w:p w:rsidR="00EC3108" w:rsidRPr="008107F0" w:rsidRDefault="00EC3108" w:rsidP="00001857">
                              <w:pPr>
                                <w:spacing w:before="45" w:after="225" w:line="240" w:lineRule="auto"/>
                                <w:jc w:val="both"/>
                                <w:rPr>
                                  <w:rFonts w:ascii="Verdana" w:eastAsia="Times New Roman" w:hAnsi="Verdana"/>
                                  <w:color w:val="656565"/>
                                  <w:sz w:val="24"/>
                                  <w:szCs w:val="24"/>
                                  <w:lang w:val="ro-RO"/>
                                </w:rPr>
                              </w:pPr>
                              <w:r w:rsidRPr="008107F0">
                                <w:rPr>
                                  <w:rFonts w:ascii="Verdana" w:eastAsia="Times New Roman" w:hAnsi="Verdana"/>
                                  <w:color w:val="656565"/>
                                  <w:sz w:val="24"/>
                                  <w:szCs w:val="24"/>
                                  <w:lang w:val="ro-RO"/>
                                </w:rPr>
                                <w:lastRenderedPageBreak/>
                                <w:t xml:space="preserve">Filmele de difuzie de la </w:t>
                              </w:r>
                              <w:r w:rsidR="00001857">
                                <w:rPr>
                                  <w:rFonts w:ascii="Verdana" w:eastAsia="Times New Roman" w:hAnsi="Verdana"/>
                                  <w:color w:val="656565"/>
                                  <w:sz w:val="24"/>
                                  <w:szCs w:val="24"/>
                                  <w:lang w:val="ro-RO"/>
                                </w:rPr>
                                <w:t>Esprit Group</w:t>
                              </w:r>
                              <w:r w:rsidRPr="008107F0">
                                <w:rPr>
                                  <w:rFonts w:ascii="Verdana" w:eastAsia="Times New Roman" w:hAnsi="Verdana"/>
                                  <w:color w:val="656565"/>
                                  <w:sz w:val="24"/>
                                  <w:szCs w:val="24"/>
                                  <w:lang w:val="ro-RO"/>
                                </w:rPr>
                                <w:t xml:space="preserve"> sunt o serie de fil</w:t>
                              </w:r>
                              <w:r>
                                <w:rPr>
                                  <w:rFonts w:ascii="Verdana" w:eastAsia="Times New Roman" w:hAnsi="Verdana"/>
                                  <w:color w:val="656565"/>
                                  <w:sz w:val="24"/>
                                  <w:szCs w:val="24"/>
                                  <w:lang w:val="ro-RO"/>
                                </w:rPr>
                                <w:t>m</w:t>
                              </w:r>
                              <w:r w:rsidRPr="008107F0">
                                <w:rPr>
                                  <w:rFonts w:ascii="Verdana" w:eastAsia="Times New Roman" w:hAnsi="Verdana"/>
                                  <w:color w:val="656565"/>
                                  <w:sz w:val="24"/>
                                  <w:szCs w:val="24"/>
                                  <w:lang w:val="ro-RO"/>
                                </w:rPr>
                                <w:t>e cu calităţi optice care pot corespunde condiţiilor exigente ale industriei de produse cu iluminare din fundal, respectiv a afişajelor şi ecranelor cu cristale lichide</w:t>
                              </w:r>
                              <w:r>
                                <w:rPr>
                                  <w:rFonts w:ascii="Verdana" w:eastAsia="Times New Roman" w:hAnsi="Verdana"/>
                                  <w:color w:val="656565"/>
                                  <w:sz w:val="24"/>
                                  <w:szCs w:val="24"/>
                                  <w:lang w:val="ro-RO"/>
                                </w:rPr>
                                <w:t xml:space="preserve"> (LCD)</w:t>
                              </w:r>
                              <w:r w:rsidRPr="008107F0">
                                <w:rPr>
                                  <w:rFonts w:ascii="Verdana" w:eastAsia="Times New Roman" w:hAnsi="Verdana"/>
                                  <w:color w:val="656565"/>
                                  <w:sz w:val="24"/>
                                  <w:szCs w:val="24"/>
                                  <w:lang w:val="ro-RO"/>
                                </w:rPr>
                                <w:t xml:space="preserve">. </w:t>
                              </w:r>
                              <w:r>
                                <w:rPr>
                                  <w:rFonts w:ascii="Verdana" w:eastAsia="Times New Roman" w:hAnsi="Verdana"/>
                                  <w:color w:val="656565"/>
                                  <w:sz w:val="24"/>
                                  <w:szCs w:val="24"/>
                                  <w:lang w:val="ro-RO"/>
                                </w:rPr>
                                <w:t xml:space="preserve">Această linie unică de produse a fost posibilă prin combinarea experienţei firmei </w:t>
                              </w:r>
                              <w:r w:rsidRPr="008107F0">
                                <w:rPr>
                                  <w:rFonts w:ascii="Verdana" w:eastAsia="Times New Roman" w:hAnsi="Verdana"/>
                                  <w:color w:val="656565"/>
                                  <w:sz w:val="24"/>
                                  <w:szCs w:val="24"/>
                                  <w:lang w:val="ro-RO"/>
                                </w:rPr>
                                <w:t xml:space="preserve">SABIC Innovative Plastics </w:t>
                              </w:r>
                              <w:r>
                                <w:rPr>
                                  <w:rFonts w:ascii="Verdana" w:eastAsia="Times New Roman" w:hAnsi="Verdana"/>
                                  <w:color w:val="656565"/>
                                  <w:sz w:val="24"/>
                                  <w:szCs w:val="24"/>
                                  <w:lang w:val="ro-RO"/>
                                </w:rPr>
                                <w:t xml:space="preserve">în domeniu răşinilor cu calităţi optice cu un mediu de producţie steril din clasa </w:t>
                              </w:r>
                              <w:r w:rsidRPr="008107F0">
                                <w:rPr>
                                  <w:rFonts w:ascii="Verdana" w:eastAsia="Times New Roman" w:hAnsi="Verdana"/>
                                  <w:color w:val="656565"/>
                                  <w:sz w:val="24"/>
                                  <w:szCs w:val="24"/>
                                  <w:lang w:val="ro-RO"/>
                                </w:rPr>
                                <w:t xml:space="preserve">10,000. </w:t>
                              </w:r>
                              <w:r>
                                <w:rPr>
                                  <w:rFonts w:ascii="Verdana" w:eastAsia="Times New Roman" w:hAnsi="Verdana"/>
                                  <w:color w:val="656565"/>
                                  <w:sz w:val="24"/>
                                  <w:szCs w:val="24"/>
                                  <w:lang w:val="ro-RO"/>
                                </w:rPr>
                                <w:t xml:space="preserve">Filmele de difuzie sunt caracterizate de proprietăţi optice excelente care sunt inglobate în formula şi / sau în suprafaţa filmului – la turnare în formă, cu scopul obţinerii </w:t>
                              </w:r>
                              <w:r w:rsidR="00727F50">
                                <w:rPr>
                                  <w:rFonts w:ascii="Verdana" w:eastAsia="Times New Roman" w:hAnsi="Verdana"/>
                                  <w:color w:val="656565"/>
                                  <w:sz w:val="24"/>
                                  <w:szCs w:val="24"/>
                                  <w:lang w:val="ro-RO"/>
                                </w:rPr>
                                <w:t>unei</w:t>
                              </w:r>
                              <w:r>
                                <w:rPr>
                                  <w:rFonts w:ascii="Verdana" w:eastAsia="Times New Roman" w:hAnsi="Verdana"/>
                                  <w:color w:val="656565"/>
                                  <w:sz w:val="24"/>
                                  <w:szCs w:val="24"/>
                                  <w:lang w:val="ro-RO"/>
                                </w:rPr>
                                <w:t xml:space="preserve"> combinaţi</w:t>
                              </w:r>
                              <w:r w:rsidR="00727F50">
                                <w:rPr>
                                  <w:rFonts w:ascii="Verdana" w:eastAsia="Times New Roman" w:hAnsi="Verdana"/>
                                  <w:color w:val="656565"/>
                                  <w:sz w:val="24"/>
                                  <w:szCs w:val="24"/>
                                  <w:lang w:val="ro-RO"/>
                                </w:rPr>
                                <w:t>i</w:t>
                              </w:r>
                              <w:r>
                                <w:rPr>
                                  <w:rFonts w:ascii="Verdana" w:eastAsia="Times New Roman" w:hAnsi="Verdana"/>
                                  <w:color w:val="656565"/>
                                  <w:sz w:val="24"/>
                                  <w:szCs w:val="24"/>
                                  <w:lang w:val="ro-RO"/>
                                </w:rPr>
                                <w:t xml:space="preserve"> fără precedent între calitate, eficienţă şi performanţă. Filmele de difuzie tradiţionale pot atinge nivelele specificate de performanţă numai prin placare. </w:t>
                              </w:r>
                            </w:p>
                          </w:tc>
                          <w:tc>
                            <w:tcPr>
                              <w:tcW w:w="0" w:type="auto"/>
                              <w:tcMar>
                                <w:top w:w="0" w:type="dxa"/>
                                <w:left w:w="0" w:type="dxa"/>
                                <w:bottom w:w="225" w:type="dxa"/>
                                <w:right w:w="180" w:type="dxa"/>
                              </w:tcMar>
                            </w:tcPr>
                            <w:p w:rsidR="00EC3108" w:rsidRPr="008107F0" w:rsidRDefault="00EC3108" w:rsidP="006820B1">
                              <w:pPr>
                                <w:spacing w:after="0" w:line="240" w:lineRule="auto"/>
                                <w:rPr>
                                  <w:rFonts w:ascii="Verdana" w:eastAsia="Times New Roman" w:hAnsi="Verdana"/>
                                  <w:color w:val="656565"/>
                                  <w:sz w:val="24"/>
                                  <w:szCs w:val="24"/>
                                  <w:lang w:val="ro-RO"/>
                                </w:rPr>
                              </w:pPr>
                              <w:r>
                                <w:rPr>
                                  <w:rFonts w:ascii="Verdana" w:eastAsia="Times New Roman" w:hAnsi="Verdana"/>
                                  <w:noProof/>
                                  <w:color w:val="656565"/>
                                  <w:sz w:val="24"/>
                                  <w:szCs w:val="24"/>
                                </w:rPr>
                                <w:drawing>
                                  <wp:inline distT="0" distB="0" distL="0" distR="0">
                                    <wp:extent cx="1333500" cy="1333500"/>
                                    <wp:effectExtent l="19050" t="0" r="0" b="0"/>
                                    <wp:docPr id="2" name="Picture 1" descr="http://imageserver.geampod.kcbam.net/KBAMImagingServer/Scripts/resize.kix?FileName=http://kbam.geampod.com/KBAM/reflection/Assets/19013.jpg&amp;Width1=140&amp;Height1=140&amp;Unit1=Pixels&amp;Form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rver.geampod.kcbam.net/KBAMImagingServer/Scripts/resize.kix?FileName=http://kbam.geampod.com/KBAM/reflection/Assets/19013.jpg&amp;Width1=140&amp;Height1=140&amp;Unit1=Pixels&amp;Format1=png"/>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r>
                      </w:tbl>
                      <w:p w:rsidR="00EC3108" w:rsidRPr="008107F0" w:rsidRDefault="00EC3108" w:rsidP="006820B1">
                        <w:pPr>
                          <w:spacing w:after="0" w:line="240" w:lineRule="auto"/>
                          <w:rPr>
                            <w:rFonts w:ascii="Verdana" w:eastAsia="Times New Roman" w:hAnsi="Verdana"/>
                            <w:color w:val="656565"/>
                            <w:sz w:val="24"/>
                            <w:szCs w:val="24"/>
                            <w:lang w:val="ro-RO"/>
                          </w:rPr>
                        </w:pPr>
                      </w:p>
                    </w:tc>
                  </w:tr>
                  <w:tr w:rsidR="00EC3108" w:rsidRPr="008107F0" w:rsidTr="006820B1">
                    <w:trPr>
                      <w:tblCellSpacing w:w="0" w:type="dxa"/>
                      <w:jc w:val="center"/>
                    </w:trPr>
                    <w:tc>
                      <w:tcPr>
                        <w:tcW w:w="0" w:type="auto"/>
                        <w:tcMar>
                          <w:top w:w="0" w:type="dxa"/>
                          <w:left w:w="15" w:type="dxa"/>
                          <w:bottom w:w="0" w:type="dxa"/>
                          <w:right w:w="0" w:type="dxa"/>
                        </w:tcMar>
                        <w:vAlign w:val="center"/>
                      </w:tcPr>
                      <w:tbl>
                        <w:tblPr>
                          <w:tblW w:w="0" w:type="auto"/>
                          <w:jc w:val="center"/>
                          <w:tblCellSpacing w:w="15" w:type="dxa"/>
                          <w:tblCellMar>
                            <w:top w:w="15" w:type="dxa"/>
                            <w:left w:w="15" w:type="dxa"/>
                            <w:bottom w:w="15" w:type="dxa"/>
                            <w:right w:w="15" w:type="dxa"/>
                          </w:tblCellMar>
                          <w:tblLook w:val="04A0"/>
                        </w:tblPr>
                        <w:tblGrid>
                          <w:gridCol w:w="9257"/>
                        </w:tblGrid>
                        <w:tr w:rsidR="00EC3108" w:rsidRPr="008107F0" w:rsidTr="006820B1">
                          <w:trPr>
                            <w:tblCellSpacing w:w="15" w:type="dxa"/>
                            <w:jc w:val="center"/>
                          </w:trPr>
                          <w:tc>
                            <w:tcPr>
                              <w:tcW w:w="0" w:type="auto"/>
                              <w:tcMar>
                                <w:top w:w="0" w:type="dxa"/>
                                <w:left w:w="15" w:type="dxa"/>
                                <w:bottom w:w="0" w:type="dxa"/>
                                <w:right w:w="0" w:type="dxa"/>
                              </w:tcMar>
                            </w:tcPr>
                            <w:p w:rsidR="00EC3108" w:rsidRPr="008107F0" w:rsidRDefault="00EC3108" w:rsidP="006820B1">
                              <w:pPr>
                                <w:spacing w:before="75" w:after="75" w:line="240" w:lineRule="auto"/>
                                <w:outlineLvl w:val="2"/>
                                <w:rPr>
                                  <w:rFonts w:ascii="Verdana" w:eastAsia="Times New Roman" w:hAnsi="Verdana"/>
                                  <w:b/>
                                  <w:bCs/>
                                  <w:color w:val="019A98"/>
                                  <w:sz w:val="26"/>
                                  <w:szCs w:val="26"/>
                                  <w:lang w:val="ro-RO"/>
                                </w:rPr>
                              </w:pPr>
                              <w:r>
                                <w:rPr>
                                  <w:rFonts w:ascii="Verdana" w:eastAsia="Times New Roman" w:hAnsi="Verdana"/>
                                  <w:b/>
                                  <w:bCs/>
                                  <w:color w:val="019A98"/>
                                  <w:sz w:val="26"/>
                                  <w:szCs w:val="26"/>
                                  <w:lang w:val="ro-RO"/>
                                </w:rPr>
                                <w:t>Caracteristici şi avantaje</w:t>
                              </w:r>
                              <w:r w:rsidRPr="008107F0">
                                <w:rPr>
                                  <w:rFonts w:ascii="Verdana" w:eastAsia="Times New Roman" w:hAnsi="Verdana"/>
                                  <w:b/>
                                  <w:bCs/>
                                  <w:color w:val="019A98"/>
                                  <w:sz w:val="26"/>
                                  <w:szCs w:val="26"/>
                                  <w:lang w:val="ro-RO"/>
                                </w:rPr>
                                <w:t xml:space="preserve"> </w:t>
                              </w:r>
                            </w:p>
                            <w:p w:rsidR="00EC3108" w:rsidRDefault="00EC3108" w:rsidP="006820B1">
                              <w:pPr>
                                <w:numPr>
                                  <w:ilvl w:val="0"/>
                                  <w:numId w:val="1"/>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Procesare şi manipulare îmbunătăţită</w:t>
                              </w:r>
                            </w:p>
                            <w:p w:rsidR="00EC3108" w:rsidRPr="008107F0" w:rsidRDefault="00EC3108" w:rsidP="006820B1">
                              <w:pPr>
                                <w:numPr>
                                  <w:ilvl w:val="0"/>
                                  <w:numId w:val="1"/>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Productivitate crescută</w:t>
                              </w:r>
                              <w:r w:rsidRPr="008107F0">
                                <w:rPr>
                                  <w:rFonts w:ascii="Verdana" w:eastAsia="Times New Roman" w:hAnsi="Verdana"/>
                                  <w:color w:val="656565"/>
                                  <w:sz w:val="24"/>
                                  <w:szCs w:val="24"/>
                                  <w:lang w:val="ro-RO"/>
                                </w:rPr>
                                <w:t xml:space="preserve"> </w:t>
                              </w:r>
                            </w:p>
                            <w:p w:rsidR="00EC3108" w:rsidRPr="008107F0" w:rsidRDefault="00EC3108" w:rsidP="006820B1">
                              <w:pPr>
                                <w:numPr>
                                  <w:ilvl w:val="0"/>
                                  <w:numId w:val="1"/>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Risc redus de rebut la controlul final de calitate</w:t>
                              </w:r>
                              <w:r w:rsidRPr="008107F0">
                                <w:rPr>
                                  <w:rFonts w:ascii="Verdana" w:eastAsia="Times New Roman" w:hAnsi="Verdana"/>
                                  <w:color w:val="656565"/>
                                  <w:sz w:val="24"/>
                                  <w:szCs w:val="24"/>
                                  <w:lang w:val="ro-RO"/>
                                </w:rPr>
                                <w:t xml:space="preserve"> </w:t>
                              </w:r>
                            </w:p>
                            <w:p w:rsidR="00EC3108" w:rsidRPr="008107F0" w:rsidRDefault="00EC3108" w:rsidP="006820B1">
                              <w:pPr>
                                <w:numPr>
                                  <w:ilvl w:val="0"/>
                                  <w:numId w:val="1"/>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Nu există goluri de placare</w:t>
                              </w:r>
                              <w:r w:rsidRPr="008107F0">
                                <w:rPr>
                                  <w:rFonts w:ascii="Verdana" w:eastAsia="Times New Roman" w:hAnsi="Verdana"/>
                                  <w:color w:val="656565"/>
                                  <w:sz w:val="24"/>
                                  <w:szCs w:val="24"/>
                                  <w:lang w:val="ro-RO"/>
                                </w:rPr>
                                <w:t xml:space="preserve"> </w:t>
                              </w:r>
                            </w:p>
                            <w:p w:rsidR="00EC3108" w:rsidRPr="008107F0" w:rsidRDefault="00EC3108" w:rsidP="006820B1">
                              <w:pPr>
                                <w:numPr>
                                  <w:ilvl w:val="0"/>
                                  <w:numId w:val="1"/>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Mai puţine încreţituri datorate căldurii</w:t>
                              </w:r>
                              <w:r w:rsidRPr="008107F0">
                                <w:rPr>
                                  <w:rFonts w:ascii="Verdana" w:eastAsia="Times New Roman" w:hAnsi="Verdana"/>
                                  <w:color w:val="656565"/>
                                  <w:sz w:val="24"/>
                                  <w:szCs w:val="24"/>
                                  <w:lang w:val="ro-RO"/>
                                </w:rPr>
                                <w:t xml:space="preserve"> </w:t>
                              </w:r>
                            </w:p>
                            <w:p w:rsidR="00EC3108" w:rsidRPr="008107F0" w:rsidRDefault="00EC3108" w:rsidP="006820B1">
                              <w:pPr>
                                <w:numPr>
                                  <w:ilvl w:val="0"/>
                                  <w:numId w:val="1"/>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Filme pentru afişaje cu stabilitate dimensională s</w:t>
                              </w:r>
                              <w:r w:rsidRPr="008107F0">
                                <w:rPr>
                                  <w:rFonts w:ascii="Verdana" w:eastAsia="Times New Roman" w:hAnsi="Verdana"/>
                                  <w:color w:val="656565"/>
                                  <w:sz w:val="24"/>
                                  <w:szCs w:val="24"/>
                                  <w:lang w:val="ro-RO"/>
                                </w:rPr>
                                <w:t>uperio</w:t>
                              </w:r>
                              <w:r>
                                <w:rPr>
                                  <w:rFonts w:ascii="Verdana" w:eastAsia="Times New Roman" w:hAnsi="Verdana"/>
                                  <w:color w:val="656565"/>
                                  <w:sz w:val="24"/>
                                  <w:szCs w:val="24"/>
                                  <w:lang w:val="ro-RO"/>
                                </w:rPr>
                                <w:t>a</w:t>
                              </w:r>
                              <w:r w:rsidRPr="008107F0">
                                <w:rPr>
                                  <w:rFonts w:ascii="Verdana" w:eastAsia="Times New Roman" w:hAnsi="Verdana"/>
                                  <w:color w:val="656565"/>
                                  <w:sz w:val="24"/>
                                  <w:szCs w:val="24"/>
                                  <w:lang w:val="ro-RO"/>
                                </w:rPr>
                                <w:t>r</w:t>
                              </w:r>
                              <w:r>
                                <w:rPr>
                                  <w:rFonts w:ascii="Verdana" w:eastAsia="Times New Roman" w:hAnsi="Verdana"/>
                                  <w:color w:val="656565"/>
                                  <w:sz w:val="24"/>
                                  <w:szCs w:val="24"/>
                                  <w:lang w:val="ro-RO"/>
                                </w:rPr>
                                <w:t>ă</w:t>
                              </w:r>
                              <w:r w:rsidRPr="008107F0">
                                <w:rPr>
                                  <w:rFonts w:ascii="Verdana" w:eastAsia="Times New Roman" w:hAnsi="Verdana"/>
                                  <w:color w:val="656565"/>
                                  <w:sz w:val="24"/>
                                  <w:szCs w:val="24"/>
                                  <w:lang w:val="ro-RO"/>
                                </w:rPr>
                                <w:t xml:space="preserve"> </w:t>
                              </w:r>
                            </w:p>
                            <w:p w:rsidR="00EC3108" w:rsidRPr="008107F0" w:rsidRDefault="00EC3108" w:rsidP="006820B1">
                              <w:pPr>
                                <w:numPr>
                                  <w:ilvl w:val="0"/>
                                  <w:numId w:val="1"/>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Capacitate de performanţă mărită faţă de majoritatea soluţiilor cu lămpi catodice fluorescente reci şi cu iluminare directă</w:t>
                              </w:r>
                              <w:r w:rsidRPr="008107F0">
                                <w:rPr>
                                  <w:rFonts w:ascii="Verdana" w:eastAsia="Times New Roman" w:hAnsi="Verdana"/>
                                  <w:color w:val="656565"/>
                                  <w:sz w:val="24"/>
                                  <w:szCs w:val="24"/>
                                  <w:lang w:val="ro-RO"/>
                                </w:rPr>
                                <w:t xml:space="preserve"> </w:t>
                              </w:r>
                            </w:p>
                            <w:p w:rsidR="00EC3108" w:rsidRPr="008107F0" w:rsidRDefault="00EC3108" w:rsidP="006820B1">
                              <w:pPr>
                                <w:spacing w:before="75" w:after="75" w:line="240" w:lineRule="auto"/>
                                <w:outlineLvl w:val="2"/>
                                <w:rPr>
                                  <w:rFonts w:ascii="Verdana" w:eastAsia="Times New Roman" w:hAnsi="Verdana"/>
                                  <w:b/>
                                  <w:bCs/>
                                  <w:color w:val="019A98"/>
                                  <w:sz w:val="26"/>
                                  <w:szCs w:val="26"/>
                                  <w:lang w:val="ro-RO"/>
                                </w:rPr>
                              </w:pPr>
                              <w:r>
                                <w:rPr>
                                  <w:rFonts w:ascii="Verdana" w:eastAsia="Times New Roman" w:hAnsi="Verdana"/>
                                  <w:b/>
                                  <w:bCs/>
                                  <w:color w:val="019A98"/>
                                  <w:sz w:val="26"/>
                                  <w:szCs w:val="26"/>
                                  <w:lang w:val="ro-RO"/>
                                </w:rPr>
                                <w:t>Aplicaţii tipice</w:t>
                              </w:r>
                              <w:r w:rsidRPr="008107F0">
                                <w:rPr>
                                  <w:rFonts w:ascii="Verdana" w:eastAsia="Times New Roman" w:hAnsi="Verdana"/>
                                  <w:b/>
                                  <w:bCs/>
                                  <w:color w:val="019A98"/>
                                  <w:sz w:val="26"/>
                                  <w:szCs w:val="26"/>
                                  <w:lang w:val="ro-RO"/>
                                </w:rPr>
                                <w:t xml:space="preserve"> </w:t>
                              </w:r>
                            </w:p>
                            <w:p w:rsidR="00EC3108" w:rsidRPr="008107F0" w:rsidRDefault="00EC3108" w:rsidP="006820B1">
                              <w:pPr>
                                <w:numPr>
                                  <w:ilvl w:val="0"/>
                                  <w:numId w:val="2"/>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Afişaje auto şi de navigaţie - GPS</w:t>
                              </w:r>
                              <w:r w:rsidRPr="008107F0">
                                <w:rPr>
                                  <w:rFonts w:ascii="Verdana" w:eastAsia="Times New Roman" w:hAnsi="Verdana"/>
                                  <w:color w:val="656565"/>
                                  <w:sz w:val="24"/>
                                  <w:szCs w:val="24"/>
                                  <w:lang w:val="ro-RO"/>
                                </w:rPr>
                                <w:t xml:space="preserve"> </w:t>
                              </w:r>
                            </w:p>
                            <w:p w:rsidR="00EC3108" w:rsidRPr="008107F0" w:rsidRDefault="00EC3108" w:rsidP="006820B1">
                              <w:pPr>
                                <w:numPr>
                                  <w:ilvl w:val="0"/>
                                  <w:numId w:val="2"/>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Calculatoare personale „n</w:t>
                              </w:r>
                              <w:r w:rsidRPr="008107F0">
                                <w:rPr>
                                  <w:rFonts w:ascii="Verdana" w:eastAsia="Times New Roman" w:hAnsi="Verdana"/>
                                  <w:color w:val="656565"/>
                                  <w:sz w:val="24"/>
                                  <w:szCs w:val="24"/>
                                  <w:lang w:val="ro-RO"/>
                                </w:rPr>
                                <w:t>otebook</w:t>
                              </w:r>
                              <w:r>
                                <w:rPr>
                                  <w:rFonts w:ascii="Verdana" w:eastAsia="Times New Roman" w:hAnsi="Verdana"/>
                                  <w:color w:val="656565"/>
                                  <w:sz w:val="24"/>
                                  <w:szCs w:val="24"/>
                                  <w:lang w:val="ro-RO"/>
                                </w:rPr>
                                <w:t>”</w:t>
                              </w:r>
                              <w:r w:rsidRPr="008107F0">
                                <w:rPr>
                                  <w:rFonts w:ascii="Verdana" w:eastAsia="Times New Roman" w:hAnsi="Verdana"/>
                                  <w:color w:val="656565"/>
                                  <w:sz w:val="24"/>
                                  <w:szCs w:val="24"/>
                                  <w:lang w:val="ro-RO"/>
                                </w:rPr>
                                <w:t xml:space="preserve"> </w:t>
                              </w:r>
                            </w:p>
                            <w:p w:rsidR="00EC3108" w:rsidRPr="008107F0" w:rsidRDefault="00EC3108" w:rsidP="006820B1">
                              <w:pPr>
                                <w:numPr>
                                  <w:ilvl w:val="0"/>
                                  <w:numId w:val="2"/>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Afişaje de monitoare</w:t>
                              </w:r>
                              <w:r w:rsidRPr="008107F0">
                                <w:rPr>
                                  <w:rFonts w:ascii="Verdana" w:eastAsia="Times New Roman" w:hAnsi="Verdana"/>
                                  <w:color w:val="656565"/>
                                  <w:sz w:val="24"/>
                                  <w:szCs w:val="24"/>
                                  <w:lang w:val="ro-RO"/>
                                </w:rPr>
                                <w:t xml:space="preserve"> </w:t>
                              </w:r>
                            </w:p>
                            <w:p w:rsidR="00EC3108" w:rsidRPr="008107F0" w:rsidRDefault="00EC3108" w:rsidP="006820B1">
                              <w:pPr>
                                <w:numPr>
                                  <w:ilvl w:val="0"/>
                                  <w:numId w:val="2"/>
                                </w:numPr>
                                <w:spacing w:before="100" w:beforeAutospacing="1" w:after="100" w:afterAutospacing="1" w:line="240" w:lineRule="auto"/>
                                <w:ind w:left="225"/>
                                <w:rPr>
                                  <w:rFonts w:ascii="Verdana" w:eastAsia="Times New Roman" w:hAnsi="Verdana"/>
                                  <w:color w:val="656565"/>
                                  <w:sz w:val="24"/>
                                  <w:szCs w:val="24"/>
                                  <w:lang w:val="ro-RO"/>
                                </w:rPr>
                              </w:pPr>
                              <w:r>
                                <w:rPr>
                                  <w:rFonts w:ascii="Verdana" w:eastAsia="Times New Roman" w:hAnsi="Verdana"/>
                                  <w:color w:val="656565"/>
                                  <w:sz w:val="24"/>
                                  <w:szCs w:val="24"/>
                                  <w:lang w:val="ro-RO"/>
                                </w:rPr>
                                <w:t xml:space="preserve">Ecrane </w:t>
                              </w:r>
                              <w:r w:rsidRPr="008107F0">
                                <w:rPr>
                                  <w:rFonts w:ascii="Verdana" w:eastAsia="Times New Roman" w:hAnsi="Verdana"/>
                                  <w:color w:val="656565"/>
                                  <w:sz w:val="24"/>
                                  <w:szCs w:val="24"/>
                                  <w:lang w:val="ro-RO"/>
                                </w:rPr>
                                <w:t xml:space="preserve">TV LCD </w:t>
                              </w:r>
                            </w:p>
                          </w:tc>
                        </w:tr>
                      </w:tbl>
                      <w:p w:rsidR="00EC3108" w:rsidRPr="008107F0" w:rsidRDefault="00EC3108" w:rsidP="006820B1">
                        <w:pPr>
                          <w:spacing w:after="0"/>
                          <w:rPr>
                            <w:rFonts w:ascii="Verdana" w:eastAsia="Times New Roman" w:hAnsi="Verdana"/>
                            <w:color w:val="656565"/>
                            <w:sz w:val="17"/>
                            <w:szCs w:val="17"/>
                            <w:lang w:val="ro-RO"/>
                          </w:rPr>
                        </w:pPr>
                      </w:p>
                    </w:tc>
                    <w:tc>
                      <w:tcPr>
                        <w:tcW w:w="0" w:type="auto"/>
                        <w:vAlign w:val="center"/>
                      </w:tcPr>
                      <w:p w:rsidR="00EC3108" w:rsidRPr="008107F0" w:rsidRDefault="00EC3108" w:rsidP="006820B1">
                        <w:pPr>
                          <w:spacing w:after="0" w:line="240" w:lineRule="auto"/>
                          <w:rPr>
                            <w:rFonts w:ascii="Times New Roman" w:eastAsia="Times New Roman" w:hAnsi="Times New Roman"/>
                            <w:sz w:val="20"/>
                            <w:szCs w:val="20"/>
                            <w:lang w:val="ro-RO"/>
                          </w:rPr>
                        </w:pPr>
                      </w:p>
                    </w:tc>
                  </w:tr>
                </w:tbl>
                <w:p w:rsidR="00EC3108" w:rsidRPr="00262076" w:rsidRDefault="00EC3108" w:rsidP="00EC3108">
                  <w:pPr>
                    <w:spacing w:before="100" w:beforeAutospacing="1" w:after="100" w:afterAutospacing="1" w:line="240" w:lineRule="auto"/>
                    <w:rPr>
                      <w:rFonts w:ascii="Verdana" w:eastAsia="Times New Roman" w:hAnsi="Verdana" w:cs="Times New Roman"/>
                      <w:color w:val="656565"/>
                      <w:sz w:val="24"/>
                      <w:szCs w:val="24"/>
                    </w:rPr>
                  </w:pPr>
                </w:p>
              </w:tc>
            </w:tr>
          </w:tbl>
          <w:p w:rsidR="00262076" w:rsidRPr="00262076" w:rsidRDefault="00262076" w:rsidP="00262076">
            <w:pPr>
              <w:spacing w:after="0"/>
              <w:rPr>
                <w:rFonts w:ascii="Verdana" w:eastAsia="Times New Roman" w:hAnsi="Verdana" w:cs="Times New Roman"/>
                <w:color w:val="656565"/>
                <w:sz w:val="17"/>
                <w:szCs w:val="17"/>
              </w:rPr>
            </w:pPr>
          </w:p>
        </w:tc>
        <w:tc>
          <w:tcPr>
            <w:tcW w:w="0" w:type="auto"/>
            <w:vAlign w:val="center"/>
            <w:hideMark/>
          </w:tcPr>
          <w:p w:rsidR="00262076" w:rsidRPr="00262076" w:rsidRDefault="00262076" w:rsidP="00262076">
            <w:pPr>
              <w:spacing w:after="0" w:line="240" w:lineRule="auto"/>
              <w:rPr>
                <w:rFonts w:ascii="Times New Roman" w:eastAsia="Times New Roman" w:hAnsi="Times New Roman" w:cs="Times New Roman"/>
                <w:sz w:val="20"/>
                <w:szCs w:val="20"/>
              </w:rPr>
            </w:pPr>
          </w:p>
        </w:tc>
      </w:tr>
    </w:tbl>
    <w:p w:rsidR="00B43328" w:rsidRDefault="00B43328" w:rsidP="00B43328">
      <w:pPr>
        <w:spacing w:before="100" w:beforeAutospacing="1" w:after="100" w:afterAutospacing="1" w:line="240" w:lineRule="auto"/>
        <w:rPr>
          <w:rFonts w:ascii="Verdana" w:eastAsia="Times New Roman" w:hAnsi="Verdana" w:cs="Times New Roman"/>
          <w:color w:val="656565"/>
          <w:sz w:val="24"/>
          <w:szCs w:val="24"/>
        </w:rPr>
      </w:pPr>
      <w:r>
        <w:rPr>
          <w:rFonts w:ascii="Verdana" w:eastAsia="Times New Roman" w:hAnsi="Verdana" w:cs="Times New Roman"/>
          <w:color w:val="656565"/>
          <w:sz w:val="24"/>
          <w:szCs w:val="24"/>
        </w:rPr>
        <w:lastRenderedPageBreak/>
        <w:t>Download:</w:t>
      </w:r>
    </w:p>
    <w:p w:rsidR="00B40431" w:rsidRPr="00B43328" w:rsidRDefault="00B43328" w:rsidP="00B43328">
      <w:pPr>
        <w:spacing w:before="100" w:beforeAutospacing="1" w:after="100" w:afterAutospacing="1" w:line="240" w:lineRule="auto"/>
        <w:rPr>
          <w:rFonts w:ascii="Times New Roman" w:eastAsia="Times New Roman" w:hAnsi="Times New Roman"/>
          <w:b/>
          <w:bCs/>
          <w:color w:val="FF0000"/>
          <w:sz w:val="24"/>
          <w:szCs w:val="24"/>
          <w:u w:val="single"/>
        </w:rPr>
      </w:pPr>
      <w:proofErr w:type="spellStart"/>
      <w:r w:rsidRPr="00B43328">
        <w:rPr>
          <w:rFonts w:ascii="Times New Roman" w:eastAsia="Times New Roman" w:hAnsi="Times New Roman"/>
          <w:b/>
          <w:bCs/>
          <w:color w:val="FF0000"/>
          <w:sz w:val="24"/>
          <w:szCs w:val="24"/>
          <w:u w:val="single"/>
        </w:rPr>
        <w:t>Lexan</w:t>
      </w:r>
      <w:proofErr w:type="spellEnd"/>
      <w:r w:rsidRPr="00B43328">
        <w:rPr>
          <w:rFonts w:ascii="Times New Roman" w:eastAsia="Times New Roman" w:hAnsi="Times New Roman"/>
          <w:b/>
          <w:bCs/>
          <w:color w:val="FF0000"/>
          <w:sz w:val="24"/>
          <w:szCs w:val="24"/>
          <w:u w:val="single"/>
        </w:rPr>
        <w:t xml:space="preserve"> </w:t>
      </w:r>
      <w:proofErr w:type="spellStart"/>
      <w:r w:rsidRPr="00B43328">
        <w:rPr>
          <w:rFonts w:ascii="Times New Roman" w:eastAsia="Times New Roman" w:hAnsi="Times New Roman"/>
          <w:b/>
          <w:bCs/>
          <w:color w:val="FF0000"/>
          <w:sz w:val="24"/>
          <w:szCs w:val="24"/>
          <w:u w:val="single"/>
        </w:rPr>
        <w:t>Illuminex</w:t>
      </w:r>
      <w:proofErr w:type="spellEnd"/>
      <w:r w:rsidRPr="00B43328">
        <w:rPr>
          <w:rFonts w:ascii="Times New Roman" w:eastAsia="Times New Roman" w:hAnsi="Times New Roman"/>
          <w:b/>
          <w:bCs/>
          <w:color w:val="FF0000"/>
          <w:sz w:val="24"/>
          <w:szCs w:val="24"/>
          <w:u w:val="single"/>
        </w:rPr>
        <w:t xml:space="preserve"> Film</w:t>
      </w:r>
    </w:p>
    <w:sectPr w:rsidR="00B40431" w:rsidRPr="00B43328" w:rsidSect="00B40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08A1"/>
    <w:multiLevelType w:val="multilevel"/>
    <w:tmpl w:val="598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6D548C"/>
    <w:multiLevelType w:val="multilevel"/>
    <w:tmpl w:val="AD22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076"/>
    <w:rsid w:val="00001857"/>
    <w:rsid w:val="00094D06"/>
    <w:rsid w:val="001D7908"/>
    <w:rsid w:val="00262076"/>
    <w:rsid w:val="00727F50"/>
    <w:rsid w:val="00A363C8"/>
    <w:rsid w:val="00B40431"/>
    <w:rsid w:val="00B43328"/>
    <w:rsid w:val="00C9468F"/>
    <w:rsid w:val="00EC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31"/>
  </w:style>
  <w:style w:type="paragraph" w:styleId="Heading2">
    <w:name w:val="heading 2"/>
    <w:basedOn w:val="Normal"/>
    <w:link w:val="Heading2Char"/>
    <w:uiPriority w:val="9"/>
    <w:qFormat/>
    <w:rsid w:val="00262076"/>
    <w:pPr>
      <w:spacing w:before="75" w:after="75" w:line="240" w:lineRule="auto"/>
      <w:outlineLvl w:val="1"/>
    </w:pPr>
    <w:rPr>
      <w:rFonts w:ascii="Verdana" w:eastAsia="Times New Roman" w:hAnsi="Verdana" w:cs="Times New Roman"/>
      <w:b/>
      <w:bCs/>
      <w:color w:val="019A98"/>
      <w:sz w:val="27"/>
      <w:szCs w:val="27"/>
    </w:rPr>
  </w:style>
  <w:style w:type="paragraph" w:styleId="Heading3">
    <w:name w:val="heading 3"/>
    <w:basedOn w:val="Normal"/>
    <w:link w:val="Heading3Char"/>
    <w:uiPriority w:val="9"/>
    <w:qFormat/>
    <w:rsid w:val="00262076"/>
    <w:pPr>
      <w:spacing w:before="75" w:after="75" w:line="240" w:lineRule="auto"/>
      <w:outlineLvl w:val="2"/>
    </w:pPr>
    <w:rPr>
      <w:rFonts w:ascii="Verdana" w:eastAsia="Times New Roman" w:hAnsi="Verdana" w:cs="Times New Roman"/>
      <w:b/>
      <w:bCs/>
      <w:color w:val="019A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076"/>
    <w:rPr>
      <w:rFonts w:ascii="Verdana" w:eastAsia="Times New Roman" w:hAnsi="Verdana" w:cs="Times New Roman"/>
      <w:b/>
      <w:bCs/>
      <w:color w:val="019A98"/>
      <w:sz w:val="27"/>
      <w:szCs w:val="27"/>
    </w:rPr>
  </w:style>
  <w:style w:type="character" w:customStyle="1" w:styleId="Heading3Char">
    <w:name w:val="Heading 3 Char"/>
    <w:basedOn w:val="DefaultParagraphFont"/>
    <w:link w:val="Heading3"/>
    <w:uiPriority w:val="9"/>
    <w:rsid w:val="00262076"/>
    <w:rPr>
      <w:rFonts w:ascii="Verdana" w:eastAsia="Times New Roman" w:hAnsi="Verdana" w:cs="Times New Roman"/>
      <w:b/>
      <w:bCs/>
      <w:color w:val="019A98"/>
      <w:sz w:val="26"/>
      <w:szCs w:val="26"/>
    </w:rPr>
  </w:style>
  <w:style w:type="paragraph" w:styleId="NormalWeb">
    <w:name w:val="Normal (Web)"/>
    <w:basedOn w:val="Normal"/>
    <w:uiPriority w:val="99"/>
    <w:unhideWhenUsed/>
    <w:rsid w:val="00262076"/>
    <w:pPr>
      <w:spacing w:before="45" w:after="225"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26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381963">
      <w:bodyDiv w:val="1"/>
      <w:marLeft w:val="0"/>
      <w:marRight w:val="0"/>
      <w:marTop w:val="0"/>
      <w:marBottom w:val="0"/>
      <w:divBdr>
        <w:top w:val="none" w:sz="0" w:space="0" w:color="auto"/>
        <w:left w:val="none" w:sz="0" w:space="0" w:color="auto"/>
        <w:bottom w:val="none" w:sz="0" w:space="0" w:color="auto"/>
        <w:right w:val="none" w:sz="0" w:space="0" w:color="auto"/>
      </w:divBdr>
      <w:divsChild>
        <w:div w:id="1649941234">
          <w:marLeft w:val="0"/>
          <w:marRight w:val="0"/>
          <w:marTop w:val="0"/>
          <w:marBottom w:val="0"/>
          <w:divBdr>
            <w:top w:val="none" w:sz="0" w:space="0" w:color="auto"/>
            <w:left w:val="none" w:sz="0" w:space="0" w:color="auto"/>
            <w:bottom w:val="none" w:sz="0" w:space="0" w:color="auto"/>
            <w:right w:val="none" w:sz="0" w:space="0" w:color="auto"/>
          </w:divBdr>
          <w:divsChild>
            <w:div w:id="254899826">
              <w:marLeft w:val="0"/>
              <w:marRight w:val="0"/>
              <w:marTop w:val="0"/>
              <w:marBottom w:val="0"/>
              <w:divBdr>
                <w:top w:val="none" w:sz="0" w:space="0" w:color="auto"/>
                <w:left w:val="none" w:sz="0" w:space="0" w:color="auto"/>
                <w:bottom w:val="none" w:sz="0" w:space="0" w:color="auto"/>
                <w:right w:val="none" w:sz="0" w:space="0" w:color="auto"/>
              </w:divBdr>
            </w:div>
            <w:div w:id="1052340184">
              <w:marLeft w:val="0"/>
              <w:marRight w:val="0"/>
              <w:marTop w:val="0"/>
              <w:marBottom w:val="0"/>
              <w:divBdr>
                <w:top w:val="none" w:sz="0" w:space="0" w:color="auto"/>
                <w:left w:val="none" w:sz="0" w:space="0" w:color="auto"/>
                <w:bottom w:val="none" w:sz="0" w:space="0" w:color="auto"/>
                <w:right w:val="none" w:sz="0" w:space="0" w:color="auto"/>
              </w:divBdr>
              <w:divsChild>
                <w:div w:id="7520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2127</Characters>
  <Application>Microsoft Office Word</Application>
  <DocSecurity>0</DocSecurity>
  <Lines>17</Lines>
  <Paragraphs>4</Paragraphs>
  <ScaleCrop>false</ScaleCrop>
  <Company>Grizli777</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8</cp:revision>
  <dcterms:created xsi:type="dcterms:W3CDTF">2010-12-07T08:36:00Z</dcterms:created>
  <dcterms:modified xsi:type="dcterms:W3CDTF">2011-01-26T07:46:00Z</dcterms:modified>
</cp:coreProperties>
</file>